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9AD5" w14:textId="65F63CBF" w:rsidR="00124C4B" w:rsidRDefault="00876DDC" w:rsidP="00876D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USER’S AGREEMENT</w:t>
      </w:r>
    </w:p>
    <w:p w14:paraId="407AF430" w14:textId="77777777" w:rsidR="00876DDC" w:rsidRDefault="00876DDC" w:rsidP="00876D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675735" w14:textId="53394FB8" w:rsidR="00876DDC" w:rsidRDefault="00876DDC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Customer Name: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447BF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8.25pt;height:18pt" o:ole="">
            <v:imagedata r:id="rId4" o:title=""/>
          </v:shape>
          <w:control r:id="rId5" w:name="TextBox1" w:shapeid="_x0000_i1028"/>
        </w:object>
      </w:r>
    </w:p>
    <w:p w14:paraId="1818009D" w14:textId="71214BA1" w:rsidR="00876DDC" w:rsidRDefault="00876DDC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 Address: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EC64CEA">
          <v:shape id="_x0000_i1032" type="#_x0000_t75" style="width:336.75pt;height:18pt" o:ole="">
            <v:imagedata r:id="rId6" o:title=""/>
          </v:shape>
          <w:control r:id="rId7" w:name="TextBox2" w:shapeid="_x0000_i103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11B4E" w14:textId="6CB7FFEC" w:rsidR="00876DDC" w:rsidRDefault="00876DDC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B24C019">
          <v:shape id="_x0000_i1036" type="#_x0000_t75" style="width:336.75pt;height:18pt" o:ole="">
            <v:imagedata r:id="rId6" o:title=""/>
          </v:shape>
          <w:control r:id="rId8" w:name="TextBox3" w:shapeid="_x0000_i1036"/>
        </w:object>
      </w:r>
    </w:p>
    <w:p w14:paraId="1D5953CD" w14:textId="7F156EA7" w:rsidR="00876DDC" w:rsidRDefault="00876DDC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Mailing Address: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5FB1169">
          <v:shape id="_x0000_i1040" type="#_x0000_t75" style="width:336.75pt;height:18pt" o:ole="">
            <v:imagedata r:id="rId6" o:title=""/>
          </v:shape>
          <w:control r:id="rId9" w:name="TextBox4" w:shapeid="_x0000_i1040"/>
        </w:object>
      </w:r>
    </w:p>
    <w:p w14:paraId="481CD212" w14:textId="55D0D52A" w:rsidR="00876DDC" w:rsidRDefault="00876DDC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4E2B337">
          <v:shape id="_x0000_i1044" type="#_x0000_t75" style="width:336.75pt;height:18pt" o:ole="">
            <v:imagedata r:id="rId6" o:title=""/>
          </v:shape>
          <w:control r:id="rId10" w:name="TextBox5" w:shapeid="_x0000_i1044"/>
        </w:object>
      </w:r>
    </w:p>
    <w:p w14:paraId="4447C166" w14:textId="0B857BE8" w:rsidR="00876DDC" w:rsidRDefault="00876DDC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Accessibility to meter: must be free of fencing, plants, or any other obstruction. No parking on meters.</w:t>
      </w:r>
    </w:p>
    <w:p w14:paraId="633BB752" w14:textId="37645B7F" w:rsidR="00876DDC" w:rsidRDefault="00876DDC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Must have cut-off valve other than the meters shut-off valve.</w:t>
      </w:r>
    </w:p>
    <w:p w14:paraId="2C0D6E26" w14:textId="730DE549" w:rsidR="00876DDC" w:rsidRDefault="00876DDC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Delinquent bills: Nonpayment by the due date will subject the User to a late fee of ten (10%) percent of current bil</w:t>
      </w:r>
      <w:r w:rsidR="007D7823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. Nonpayment within </w:t>
      </w:r>
      <w:r w:rsidR="007D7823">
        <w:rPr>
          <w:rFonts w:ascii="Times New Roman" w:hAnsi="Times New Roman" w:cs="Times New Roman"/>
          <w:sz w:val="28"/>
          <w:szCs w:val="28"/>
        </w:rPr>
        <w:t>sixty (60</w:t>
      </w:r>
      <w:r>
        <w:rPr>
          <w:rFonts w:ascii="Times New Roman" w:hAnsi="Times New Roman" w:cs="Times New Roman"/>
          <w:sz w:val="28"/>
          <w:szCs w:val="28"/>
        </w:rPr>
        <w:t xml:space="preserve">) days from the </w:t>
      </w:r>
      <w:r w:rsidR="007D7823">
        <w:rPr>
          <w:rFonts w:ascii="Times New Roman" w:hAnsi="Times New Roman" w:cs="Times New Roman"/>
          <w:sz w:val="28"/>
          <w:szCs w:val="28"/>
        </w:rPr>
        <w:t>due date will lock the User’s meter. In the event it becomes necessary for the Association to lock the User’s meter, a fee of $50.00 will be charged for the reconnection of service.</w:t>
      </w:r>
    </w:p>
    <w:p w14:paraId="713E4181" w14:textId="745706CA" w:rsidR="007D7823" w:rsidRDefault="007D7823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Each member must be following the one meter per residence rule.</w:t>
      </w:r>
    </w:p>
    <w:p w14:paraId="74575BCA" w14:textId="2F9984A3" w:rsidR="007D7823" w:rsidRDefault="007D7823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Any type of irrigation system must be metered separately.</w:t>
      </w:r>
    </w:p>
    <w:p w14:paraId="30C1A989" w14:textId="79468480" w:rsidR="007D7823" w:rsidRDefault="007D7823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Letter of Intent and Final Approval inspection of septic system is required to be on file for all new construction.</w:t>
      </w:r>
    </w:p>
    <w:p w14:paraId="01A917B1" w14:textId="0F70FE44" w:rsidR="007D7823" w:rsidRDefault="007D7823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Restricting pressure at an individual home site will be the responsibility of the homeowner.</w:t>
      </w:r>
    </w:p>
    <w:p w14:paraId="63E78A7D" w14:textId="606CA792" w:rsidR="007D7823" w:rsidRDefault="007D7823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All mobile homes need to have a regulator valve installed </w:t>
      </w:r>
      <w:r w:rsidR="00BF46FA">
        <w:rPr>
          <w:rFonts w:ascii="Times New Roman" w:hAnsi="Times New Roman" w:cs="Times New Roman"/>
          <w:sz w:val="28"/>
          <w:szCs w:val="28"/>
        </w:rPr>
        <w:t>which</w:t>
      </w:r>
      <w:r>
        <w:rPr>
          <w:rFonts w:ascii="Times New Roman" w:hAnsi="Times New Roman" w:cs="Times New Roman"/>
          <w:sz w:val="28"/>
          <w:szCs w:val="28"/>
        </w:rPr>
        <w:t xml:space="preserve"> is the responsibility of the homeowner.</w:t>
      </w:r>
    </w:p>
    <w:p w14:paraId="490E221C" w14:textId="6A77C170" w:rsidR="007D7823" w:rsidRDefault="007D7823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If you have anyone staying in a camper or travel trailer at your residence for more than two weeks, contact the office at 601-582-1948</w:t>
      </w:r>
      <w:r w:rsidR="00BF4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inform the office. Otherwise, you will be </w:t>
      </w:r>
      <w:r w:rsidR="00BF46FA">
        <w:rPr>
          <w:rFonts w:ascii="Times New Roman" w:hAnsi="Times New Roman" w:cs="Times New Roman"/>
          <w:sz w:val="28"/>
          <w:szCs w:val="28"/>
        </w:rPr>
        <w:t>in violation</w:t>
      </w:r>
      <w:r>
        <w:rPr>
          <w:rFonts w:ascii="Times New Roman" w:hAnsi="Times New Roman" w:cs="Times New Roman"/>
          <w:sz w:val="28"/>
          <w:szCs w:val="28"/>
        </w:rPr>
        <w:t xml:space="preserve"> and receive a letter for a double hook-up.</w:t>
      </w:r>
    </w:p>
    <w:p w14:paraId="40E866C3" w14:textId="50E8E21F" w:rsidR="007D7823" w:rsidRDefault="007D7823" w:rsidP="008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All water passing through your meter is the responsibility of the home owner.</w:t>
      </w:r>
    </w:p>
    <w:p w14:paraId="1CB16F5A" w14:textId="77777777" w:rsidR="007D7823" w:rsidRDefault="007D7823" w:rsidP="00876DDC">
      <w:pPr>
        <w:rPr>
          <w:rFonts w:ascii="Times New Roman" w:hAnsi="Times New Roman" w:cs="Times New Roman"/>
          <w:sz w:val="28"/>
          <w:szCs w:val="28"/>
        </w:rPr>
      </w:pPr>
    </w:p>
    <w:p w14:paraId="31D9B40A" w14:textId="42035E39" w:rsidR="007D7823" w:rsidRDefault="007D7823" w:rsidP="007D78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Policy Requiring Mississippi State Department of Health</w:t>
      </w:r>
    </w:p>
    <w:p w14:paraId="0F9687E2" w14:textId="026A596C" w:rsidR="007D7823" w:rsidRDefault="007D7823" w:rsidP="007D78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Approval of Individual Wastewater systems</w:t>
      </w:r>
    </w:p>
    <w:p w14:paraId="0E86B15F" w14:textId="7DBED0F4" w:rsidR="007D7823" w:rsidRDefault="007D7823" w:rsidP="007D78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Effective 7-1-1995, No new </w:t>
      </w:r>
      <w:r w:rsidR="00BF46FA">
        <w:rPr>
          <w:rFonts w:ascii="Times New Roman" w:hAnsi="Times New Roman" w:cs="Times New Roman"/>
          <w:sz w:val="24"/>
          <w:szCs w:val="24"/>
        </w:rPr>
        <w:t>residential</w:t>
      </w:r>
      <w:r>
        <w:rPr>
          <w:rFonts w:ascii="Times New Roman" w:hAnsi="Times New Roman" w:cs="Times New Roman"/>
          <w:sz w:val="24"/>
          <w:szCs w:val="24"/>
        </w:rPr>
        <w:t xml:space="preserve"> water service connection shall be provided to any home or business by the Brooklyn Utility Association unless the individual on-site wastewater disposal system has been approved by the Mississippi State </w:t>
      </w:r>
      <w:r w:rsidR="00BF46FA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of He</w:t>
      </w:r>
      <w:r w:rsidR="00C47F63">
        <w:rPr>
          <w:rFonts w:ascii="Times New Roman" w:hAnsi="Times New Roman" w:cs="Times New Roman"/>
          <w:sz w:val="24"/>
          <w:szCs w:val="24"/>
        </w:rPr>
        <w:t>alth. When water service is requested for a building site, preliminary approval by the MSDH of the site for installation of a wastewater disposal system, MSDH Form 225, shall be required before any temporary water service connection is made. Upon completion of the construction of the wastewater system, the applicant must furnish a copy of the MSDH final approval, MSDH for 910. Failure to comply with these requirements will result in rejection of the application for water service, or if service has a</w:t>
      </w:r>
      <w:r w:rsidR="00BF46FA">
        <w:rPr>
          <w:rFonts w:ascii="Times New Roman" w:hAnsi="Times New Roman" w:cs="Times New Roman"/>
          <w:sz w:val="24"/>
          <w:szCs w:val="24"/>
        </w:rPr>
        <w:t>lready</w:t>
      </w:r>
      <w:r w:rsidR="00C47F63">
        <w:rPr>
          <w:rFonts w:ascii="Times New Roman" w:hAnsi="Times New Roman" w:cs="Times New Roman"/>
          <w:sz w:val="24"/>
          <w:szCs w:val="24"/>
        </w:rPr>
        <w:t xml:space="preserve"> been installed, service will be terminated, and the water meter removed.</w:t>
      </w:r>
    </w:p>
    <w:p w14:paraId="2113961F" w14:textId="77777777" w:rsidR="00C47F63" w:rsidRDefault="00C47F63" w:rsidP="007D7823">
      <w:pPr>
        <w:rPr>
          <w:rFonts w:ascii="Times New Roman" w:hAnsi="Times New Roman" w:cs="Times New Roman"/>
          <w:sz w:val="24"/>
          <w:szCs w:val="24"/>
        </w:rPr>
      </w:pPr>
    </w:p>
    <w:p w14:paraId="5CCA1524" w14:textId="1C3E46A2" w:rsidR="00C47F63" w:rsidRDefault="00C47F63" w:rsidP="00C47F6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Cross Connection Regulations</w:t>
      </w:r>
    </w:p>
    <w:p w14:paraId="571A1A76" w14:textId="086A82E1" w:rsidR="00C47F63" w:rsidRDefault="00C47F63" w:rsidP="00C4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of July 1, 1997, the Mississippi Legislature passed a bill making it unlawful to create, maintain, or allow a cross-connection. Please contact Brooklyn Utility Association at 601-582-1948 if you have any of the following situations.</w:t>
      </w:r>
    </w:p>
    <w:p w14:paraId="1AB5DD6C" w14:textId="42A44828" w:rsidR="00C47F63" w:rsidRDefault="00C47F63" w:rsidP="00C4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If you have a private well, or plan to install a private well, we will need to visually inspect the complete separation, or the appropriate back-flow prevention assembly that has been installed.</w:t>
      </w:r>
    </w:p>
    <w:p w14:paraId="0E53AEC7" w14:textId="33E084AB" w:rsidR="00C47F63" w:rsidRDefault="00C47F63" w:rsidP="00C4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If you have a private swimming pool, we will need to inspect it to determine if a cross-connection exists.</w:t>
      </w:r>
    </w:p>
    <w:p w14:paraId="27B4DE57" w14:textId="34B0643A" w:rsidR="00C47F63" w:rsidRDefault="00C47F63" w:rsidP="00C4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Beauty and Barber shops also need an inspection to determine if a cross-connection exists.</w:t>
      </w:r>
    </w:p>
    <w:p w14:paraId="54FD2E6A" w14:textId="6790D168" w:rsidR="00C47F63" w:rsidRDefault="00C47F63" w:rsidP="00C4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If you have an existing lawn irrigation system, it will need to be inspected to determine if a cross-connection exists.</w:t>
      </w:r>
    </w:p>
    <w:p w14:paraId="59BA117D" w14:textId="737B8978" w:rsidR="00C47F63" w:rsidRDefault="00C47F63" w:rsidP="00C4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If you plan to install an irrigation system after August 1, 1997, it will be on a separate meter, and the appropriate back-flow prevention assembly installed.</w:t>
      </w:r>
    </w:p>
    <w:p w14:paraId="229EE8CB" w14:textId="5DFED786" w:rsidR="00C47F63" w:rsidRDefault="00C47F63" w:rsidP="00C4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All other uses not mentioned will be addressed on a case-by-case basis.</w:t>
      </w:r>
    </w:p>
    <w:p w14:paraId="36DDA6BA" w14:textId="77777777" w:rsidR="00C47F63" w:rsidRDefault="00C47F63" w:rsidP="00C47F63">
      <w:pPr>
        <w:rPr>
          <w:rFonts w:ascii="Times New Roman" w:hAnsi="Times New Roman" w:cs="Times New Roman"/>
          <w:sz w:val="24"/>
          <w:szCs w:val="24"/>
        </w:rPr>
      </w:pPr>
    </w:p>
    <w:p w14:paraId="655E7D00" w14:textId="6500F466" w:rsidR="00397D7F" w:rsidRDefault="00397D7F" w:rsidP="00C4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read this agreement and agree to the above stipulations in this agreement.</w:t>
      </w:r>
    </w:p>
    <w:p w14:paraId="342279A4" w14:textId="4A4D176D" w:rsidR="00397D7F" w:rsidRDefault="00397D7F" w:rsidP="00C4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3230B5EA">
          <v:shape id="_x0000_i1048" type="#_x0000_t75" style="width:380.25pt;height:18pt" o:ole="">
            <v:imagedata r:id="rId11" o:title=""/>
          </v:shape>
          <w:control r:id="rId12" w:name="TextBox6" w:shapeid="_x0000_i1048"/>
        </w:object>
      </w:r>
    </w:p>
    <w:p w14:paraId="348F8CB6" w14:textId="1E440F4F" w:rsidR="00397D7F" w:rsidRPr="00397D7F" w:rsidRDefault="00397D7F" w:rsidP="00C47F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object w:dxaOrig="1440" w:dyaOrig="1440" w14:anchorId="3A348F63">
          <v:shape id="_x0000_i1052" type="#_x0000_t75" style="width:109.5pt;height:18pt" o:ole="">
            <v:imagedata r:id="rId13" o:title=""/>
          </v:shape>
          <w:control r:id="rId14" w:name="TextBox7" w:shapeid="_x0000_i1052"/>
        </w:object>
      </w:r>
    </w:p>
    <w:p w14:paraId="7DE8CBBE" w14:textId="77777777" w:rsidR="00876DDC" w:rsidRPr="00876DDC" w:rsidRDefault="00876DDC" w:rsidP="00876D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6DDC" w:rsidRPr="00876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DC"/>
    <w:rsid w:val="001000F8"/>
    <w:rsid w:val="00124C4B"/>
    <w:rsid w:val="001A6541"/>
    <w:rsid w:val="00397D7F"/>
    <w:rsid w:val="007C6DEC"/>
    <w:rsid w:val="007D7823"/>
    <w:rsid w:val="00876DDC"/>
    <w:rsid w:val="008D69BA"/>
    <w:rsid w:val="00B60F13"/>
    <w:rsid w:val="00BF46FA"/>
    <w:rsid w:val="00C47F63"/>
    <w:rsid w:val="00D95814"/>
    <w:rsid w:val="00F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18A3"/>
  <w15:chartTrackingRefBased/>
  <w15:docId w15:val="{A56DAF4C-FDDE-4788-A2E0-0EC41410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D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D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958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A6541"/>
    <w:pPr>
      <w:spacing w:after="0" w:line="240" w:lineRule="auto"/>
    </w:pPr>
    <w:rPr>
      <w:rFonts w:ascii="Bookman Old Style" w:eastAsiaTheme="majorEastAsia" w:hAnsi="Bookman Old Style" w:cstheme="majorBidi"/>
      <w:b/>
      <w:i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6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D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D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D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D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D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 .</dc:creator>
  <cp:keywords/>
  <dc:description/>
  <cp:lastModifiedBy>BROOKLYN .</cp:lastModifiedBy>
  <cp:revision>2</cp:revision>
  <dcterms:created xsi:type="dcterms:W3CDTF">2025-03-19T19:10:00Z</dcterms:created>
  <dcterms:modified xsi:type="dcterms:W3CDTF">2025-03-19T19:46:00Z</dcterms:modified>
</cp:coreProperties>
</file>